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E" w:rsidRDefault="007D1D72" w:rsidP="00C414FC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压力容器操作专项职业能力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考核规范</w:t>
      </w:r>
    </w:p>
    <w:p w:rsidR="00021947" w:rsidRDefault="00021947" w:rsidP="00C414FC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</w:p>
    <w:p w:rsidR="00C75C6E" w:rsidRDefault="007D1D72" w:rsidP="00C414FC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C75C6E" w:rsidRDefault="007D1D72" w:rsidP="00C414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操作人员对压力容器进行正确的操作（充装）、使设备保持最佳的运行状态，对设备进行维护、使设备处于安全状态，并对事故具有应急处置的能力。</w:t>
      </w:r>
    </w:p>
    <w:p w:rsidR="00C75C6E" w:rsidRDefault="007D1D72" w:rsidP="00C414FC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C414FC" w:rsidRDefault="00C414FC" w:rsidP="00C414FC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C75C6E" w:rsidRDefault="007D1D72" w:rsidP="00C414FC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Style w:val="a5"/>
        <w:tblW w:w="9889" w:type="dxa"/>
        <w:jc w:val="center"/>
        <w:tblLook w:val="04A0" w:firstRow="1" w:lastRow="0" w:firstColumn="1" w:lastColumn="0" w:noHBand="0" w:noVBand="1"/>
      </w:tblPr>
      <w:tblGrid>
        <w:gridCol w:w="2321"/>
        <w:gridCol w:w="1756"/>
        <w:gridCol w:w="4980"/>
        <w:gridCol w:w="832"/>
      </w:tblGrid>
      <w:tr w:rsidR="00C414FC" w:rsidRPr="00C414FC" w:rsidTr="00021947">
        <w:trPr>
          <w:jc w:val="center"/>
        </w:trPr>
        <w:tc>
          <w:tcPr>
            <w:tcW w:w="9889" w:type="dxa"/>
            <w:gridSpan w:val="4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4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能力名称：压力容器操作（固定式）   </w:t>
            </w:r>
            <w:r w:rsidRPr="00C414F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0219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C414F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Pr="00C414F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生产、运输设备操作</w:t>
            </w:r>
          </w:p>
        </w:tc>
      </w:tr>
      <w:tr w:rsidR="00C414FC" w:rsidRPr="00C414FC" w:rsidTr="00764581">
        <w:trPr>
          <w:jc w:val="center"/>
        </w:trPr>
        <w:tc>
          <w:tcPr>
            <w:tcW w:w="2321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4FC">
              <w:rPr>
                <w:rFonts w:ascii="仿宋" w:eastAsia="仿宋" w:hAnsi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1756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4FC">
              <w:rPr>
                <w:rFonts w:ascii="仿宋" w:eastAsia="仿宋" w:hAnsi="仿宋"/>
                <w:b/>
                <w:sz w:val="24"/>
                <w:szCs w:val="24"/>
              </w:rPr>
              <w:t>操作规范</w:t>
            </w:r>
          </w:p>
        </w:tc>
        <w:tc>
          <w:tcPr>
            <w:tcW w:w="4980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4FC">
              <w:rPr>
                <w:rFonts w:ascii="仿宋" w:eastAsia="仿宋" w:hAnsi="仿宋"/>
                <w:b/>
                <w:sz w:val="24"/>
                <w:szCs w:val="24"/>
              </w:rPr>
              <w:t>相关知识</w:t>
            </w:r>
          </w:p>
        </w:tc>
        <w:tc>
          <w:tcPr>
            <w:tcW w:w="832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4FC">
              <w:rPr>
                <w:rFonts w:ascii="仿宋" w:eastAsia="仿宋" w:hAnsi="仿宋"/>
                <w:b/>
                <w:sz w:val="24"/>
                <w:szCs w:val="24"/>
              </w:rPr>
              <w:t>考核比重</w:t>
            </w:r>
          </w:p>
        </w:tc>
      </w:tr>
      <w:tr w:rsidR="00C414FC" w:rsidRPr="00C414FC" w:rsidTr="00764581">
        <w:trPr>
          <w:jc w:val="center"/>
        </w:trPr>
        <w:tc>
          <w:tcPr>
            <w:tcW w:w="2321" w:type="dxa"/>
            <w:vMerge w:val="restart"/>
            <w:vAlign w:val="center"/>
          </w:tcPr>
          <w:p w:rsidR="00021947" w:rsidRDefault="00021947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21947">
              <w:rPr>
                <w:rFonts w:ascii="仿宋" w:eastAsia="仿宋" w:hAnsi="仿宋" w:hint="eastAsia"/>
                <w:sz w:val="24"/>
                <w:szCs w:val="24"/>
              </w:rPr>
              <w:t>1.掌握典型压力容器设备及其安全附件、附属设备的基本原理、结构和相关技术要求；</w:t>
            </w:r>
          </w:p>
          <w:p w:rsidR="00021947" w:rsidRDefault="00021947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21947">
              <w:rPr>
                <w:rFonts w:ascii="仿宋" w:eastAsia="仿宋" w:hAnsi="仿宋" w:hint="eastAsia"/>
                <w:sz w:val="24"/>
                <w:szCs w:val="24"/>
              </w:rPr>
              <w:t>2.掌握从事本工种作业所必须的安全操作知识和技能；</w:t>
            </w:r>
          </w:p>
          <w:p w:rsidR="00C414FC" w:rsidRPr="00021947" w:rsidRDefault="00021947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21947">
              <w:rPr>
                <w:rFonts w:ascii="仿宋" w:eastAsia="仿宋" w:hAnsi="仿宋" w:hint="eastAsia"/>
                <w:sz w:val="24"/>
                <w:szCs w:val="24"/>
              </w:rPr>
              <w:t>3.掌握压力容器的异常应急处置能力。</w:t>
            </w:r>
          </w:p>
        </w:tc>
        <w:tc>
          <w:tcPr>
            <w:tcW w:w="1756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相关部件识别</w:t>
            </w:r>
          </w:p>
        </w:tc>
        <w:tc>
          <w:tcPr>
            <w:tcW w:w="4980" w:type="dxa"/>
            <w:vAlign w:val="center"/>
          </w:tcPr>
          <w:p w:rsidR="00C414FC" w:rsidRDefault="00C414FC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压力容器及其主要组成部分；</w:t>
            </w:r>
          </w:p>
          <w:p w:rsidR="00C414FC" w:rsidRDefault="00C414FC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压力容器典型结构、主要受压元件、基本参数；</w:t>
            </w:r>
          </w:p>
          <w:p w:rsidR="00C414FC" w:rsidRDefault="00C414FC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压力容器常见安全联锁装置；</w:t>
            </w:r>
          </w:p>
          <w:p w:rsidR="00C414FC" w:rsidRDefault="00C414FC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常见压力容器安全联锁装置主要组成机构；</w:t>
            </w:r>
          </w:p>
          <w:p w:rsidR="00C414FC" w:rsidRDefault="00C414FC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压力容器安全附件、仪表、常用阀门及密封元件；</w:t>
            </w:r>
          </w:p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常见压力容器报警指示含义</w:t>
            </w: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。</w:t>
            </w:r>
          </w:p>
        </w:tc>
        <w:tc>
          <w:tcPr>
            <w:tcW w:w="832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</w:t>
            </w:r>
          </w:p>
        </w:tc>
      </w:tr>
      <w:tr w:rsidR="00C414FC" w:rsidRPr="00C414FC" w:rsidTr="00764581">
        <w:trPr>
          <w:jc w:val="center"/>
        </w:trPr>
        <w:tc>
          <w:tcPr>
            <w:tcW w:w="2321" w:type="dxa"/>
            <w:vMerge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基本操作能力</w:t>
            </w:r>
          </w:p>
        </w:tc>
        <w:tc>
          <w:tcPr>
            <w:tcW w:w="4980" w:type="dxa"/>
            <w:vAlign w:val="center"/>
          </w:tcPr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压力容器使用前检查及不安全因素排除；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压力容器运行状态监控及安全检查；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3.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压力容器安全联锁装置完好性检查；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4.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压力容器启动、运行和停止操作程序及安全注意事项</w:t>
            </w:r>
            <w:r w:rsidR="00C414FC">
              <w:rPr>
                <w:rFonts w:ascii="仿宋" w:eastAsia="仿宋" w:hAnsi="仿宋"/>
                <w:sz w:val="24"/>
                <w:szCs w:val="24"/>
                <w:lang w:val="zh-TW" w:eastAsia="zh-TW"/>
              </w:rPr>
              <w:t>;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5.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压力容器手动安全联锁手柄机构的操作；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6.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压力容器升压前，快开门达到预定关闭部位的确认；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lastRenderedPageBreak/>
              <w:t>7.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打开快开门前，压力容器内部压力完全释放的确认；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8.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压力容器工艺参数设置及调整；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9.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压力容器日常维护保养；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10.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压力容器安全附件及仪表的检查与记录；</w:t>
            </w:r>
          </w:p>
          <w:p w:rsidR="00C414FC" w:rsidRPr="00C414FC" w:rsidRDefault="00021947" w:rsidP="00021947">
            <w:pPr>
              <w:pStyle w:val="a6"/>
              <w:spacing w:line="36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11.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压力容器常用阀门、密封元件的维护保养。</w:t>
            </w:r>
          </w:p>
        </w:tc>
        <w:tc>
          <w:tcPr>
            <w:tcW w:w="832" w:type="dxa"/>
            <w:vAlign w:val="center"/>
          </w:tcPr>
          <w:p w:rsidR="00C414FC" w:rsidRPr="00C414FC" w:rsidRDefault="00764581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50%</w:t>
            </w:r>
          </w:p>
        </w:tc>
      </w:tr>
      <w:tr w:rsidR="00C414FC" w:rsidRPr="00C414FC" w:rsidTr="00764581">
        <w:trPr>
          <w:jc w:val="center"/>
        </w:trPr>
        <w:tc>
          <w:tcPr>
            <w:tcW w:w="2321" w:type="dxa"/>
            <w:vMerge/>
            <w:vAlign w:val="center"/>
          </w:tcPr>
          <w:p w:rsidR="00C414FC" w:rsidRPr="00C414FC" w:rsidRDefault="00C414FC" w:rsidP="00021947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C414FC" w:rsidRDefault="00C414FC" w:rsidP="000219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应急处置能力</w:t>
            </w:r>
          </w:p>
        </w:tc>
        <w:tc>
          <w:tcPr>
            <w:tcW w:w="4980" w:type="dxa"/>
            <w:vAlign w:val="center"/>
          </w:tcPr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压力容器异常情况处理、记录和常见故障排除；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压力容器作业人员进罐安全要求；</w:t>
            </w:r>
          </w:p>
          <w:p w:rsidR="00C414FC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3.</w:t>
            </w:r>
            <w:r w:rsidR="00C414FC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压力容器事故应急预案和事故处理。</w:t>
            </w:r>
          </w:p>
        </w:tc>
        <w:tc>
          <w:tcPr>
            <w:tcW w:w="832" w:type="dxa"/>
            <w:vAlign w:val="center"/>
          </w:tcPr>
          <w:p w:rsidR="00C414FC" w:rsidRDefault="00C414FC" w:rsidP="000219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20%</w:t>
            </w:r>
          </w:p>
        </w:tc>
      </w:tr>
    </w:tbl>
    <w:p w:rsidR="00C75C6E" w:rsidRDefault="00C75C6E" w:rsidP="00C414FC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161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4961"/>
        <w:gridCol w:w="851"/>
      </w:tblGrid>
      <w:tr w:rsidR="00C75C6E" w:rsidTr="00021947">
        <w:trPr>
          <w:trHeight w:val="422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021947">
            <w:pPr>
              <w:widowControl/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能力名称：压力容器操作（移动式）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0219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职业领域：生产、运输设备操作</w:t>
            </w:r>
          </w:p>
        </w:tc>
      </w:tr>
      <w:tr w:rsidR="00C75C6E" w:rsidTr="00764581">
        <w:trPr>
          <w:trHeight w:val="429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C75C6E" w:rsidTr="00764581">
        <w:trPr>
          <w:trHeight w:val="792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021947" w:rsidP="00021947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7D1D72">
              <w:rPr>
                <w:rFonts w:ascii="仿宋" w:eastAsia="仿宋" w:hAnsi="仿宋" w:hint="eastAsia"/>
                <w:sz w:val="24"/>
                <w:szCs w:val="24"/>
              </w:rPr>
              <w:t>掌握移动式压力容器的安全操作知识；</w:t>
            </w:r>
          </w:p>
          <w:p w:rsidR="00C75C6E" w:rsidRDefault="00021947" w:rsidP="00021947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7D1D72">
              <w:rPr>
                <w:rFonts w:ascii="仿宋" w:eastAsia="仿宋" w:hAnsi="仿宋" w:hint="eastAsia"/>
                <w:sz w:val="24"/>
                <w:szCs w:val="24"/>
              </w:rPr>
              <w:t>掌握移动式压力容器的异常处理知识。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相关部件识别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移动式压力容器典型结构、主要受压元件、基本参数；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管路、安全附件和装卸附件；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3.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走行装置或者框架。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30%</w:t>
            </w:r>
          </w:p>
        </w:tc>
      </w:tr>
      <w:tr w:rsidR="00C75C6E" w:rsidTr="00764581">
        <w:trPr>
          <w:trHeight w:val="792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C75C6E" w:rsidP="00C414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基本操作能力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移动式压力容器的安全附件和承压附件检查；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充装作业前检查；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3.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充装作业要求；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4.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充装作业后检查；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5.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禁止进行充装作业的一般规定；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6.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超装处置。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50%</w:t>
            </w:r>
          </w:p>
        </w:tc>
      </w:tr>
      <w:tr w:rsidR="00C75C6E" w:rsidTr="00764581">
        <w:trPr>
          <w:trHeight w:val="792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C75C6E" w:rsidP="00C414F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应急处置能力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1.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移动式压力容器充装常见事故判断与应急处置技术；</w:t>
            </w:r>
          </w:p>
          <w:p w:rsidR="00C75C6E" w:rsidRDefault="00021947" w:rsidP="0002194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TW"/>
              </w:rPr>
              <w:t>2.</w:t>
            </w:r>
            <w:r w:rsidR="007D1D72">
              <w:rPr>
                <w:rFonts w:ascii="仿宋" w:eastAsia="仿宋" w:hAnsi="仿宋" w:hint="eastAsia"/>
                <w:sz w:val="24"/>
                <w:szCs w:val="24"/>
                <w:lang w:val="zh-TW" w:eastAsia="zh-TW"/>
              </w:rPr>
              <w:t>移动式压力容器充装突发事故的处置技术。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6E" w:rsidRDefault="007D1D72" w:rsidP="00C414F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20%</w:t>
            </w:r>
          </w:p>
        </w:tc>
      </w:tr>
    </w:tbl>
    <w:p w:rsidR="00C75C6E" w:rsidRDefault="007D1D72" w:rsidP="00C414FC">
      <w:pPr>
        <w:pStyle w:val="a6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C75C6E" w:rsidRDefault="007D1D72" w:rsidP="00C414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（一）申报条件</w:t>
      </w:r>
    </w:p>
    <w:p w:rsidR="00C75C6E" w:rsidRDefault="007D1D72" w:rsidP="00C414F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达到法定劳动年龄，具有相应技能的劳动者均可申报。</w:t>
      </w:r>
    </w:p>
    <w:p w:rsidR="00764581" w:rsidRDefault="007D1D72" w:rsidP="00764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（二）考评员构成</w:t>
      </w:r>
    </w:p>
    <w:p w:rsidR="00764581" w:rsidRDefault="00764581" w:rsidP="00764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4581">
        <w:rPr>
          <w:rFonts w:ascii="仿宋" w:eastAsia="仿宋" w:hAnsi="仿宋" w:hint="eastAsia"/>
          <w:sz w:val="28"/>
          <w:szCs w:val="28"/>
        </w:rPr>
        <w:t>考评员应具备一定的压力容器操作专业知识及实际操作经验；每个考评组中不少于3名考评员。</w:t>
      </w:r>
    </w:p>
    <w:p w:rsidR="00C75C6E" w:rsidRDefault="00764581" w:rsidP="00764581">
      <w:pPr>
        <w:spacing w:line="360" w:lineRule="auto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764581">
        <w:rPr>
          <w:rFonts w:ascii="仿宋" w:eastAsia="仿宋" w:hAnsi="仿宋" w:hint="eastAsia"/>
          <w:sz w:val="28"/>
          <w:szCs w:val="28"/>
        </w:rPr>
        <w:t>鉴定方式与鉴定时间</w:t>
      </w:r>
    </w:p>
    <w:p w:rsidR="00764581" w:rsidRDefault="00764581" w:rsidP="007645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4581">
        <w:rPr>
          <w:rFonts w:ascii="仿宋" w:eastAsia="仿宋" w:hAnsi="仿宋" w:hint="eastAsia"/>
          <w:sz w:val="28"/>
          <w:szCs w:val="28"/>
        </w:rPr>
        <w:t>技能操作考核采取实际操作考核。技能操作考核时间为30分钟。</w:t>
      </w:r>
    </w:p>
    <w:p w:rsidR="00C75C6E" w:rsidRDefault="007D1D72" w:rsidP="00764581">
      <w:pPr>
        <w:spacing w:line="360" w:lineRule="auto"/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（四）鉴定场地和设备要求</w:t>
      </w:r>
    </w:p>
    <w:tbl>
      <w:tblPr>
        <w:tblStyle w:val="a5"/>
        <w:tblW w:w="9225" w:type="dxa"/>
        <w:tblLayout w:type="fixed"/>
        <w:tblLook w:val="04A0" w:firstRow="1" w:lastRow="0" w:firstColumn="1" w:lastColumn="0" w:noHBand="0" w:noVBand="1"/>
      </w:tblPr>
      <w:tblGrid>
        <w:gridCol w:w="2300"/>
        <w:gridCol w:w="4122"/>
        <w:gridCol w:w="2803"/>
      </w:tblGrid>
      <w:tr w:rsidR="00C75C6E" w:rsidTr="00764581">
        <w:tc>
          <w:tcPr>
            <w:tcW w:w="2300" w:type="dxa"/>
          </w:tcPr>
          <w:p w:rsidR="00C75C6E" w:rsidRDefault="007D1D72" w:rsidP="00C414F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4122" w:type="dxa"/>
          </w:tcPr>
          <w:p w:rsidR="00C75C6E" w:rsidRDefault="007D1D72" w:rsidP="00C414F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设备要求</w:t>
            </w:r>
          </w:p>
        </w:tc>
        <w:tc>
          <w:tcPr>
            <w:tcW w:w="2803" w:type="dxa"/>
          </w:tcPr>
          <w:p w:rsidR="00C75C6E" w:rsidRDefault="007D1D72" w:rsidP="00C414FC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场地要求</w:t>
            </w:r>
          </w:p>
        </w:tc>
      </w:tr>
      <w:tr w:rsidR="00C75C6E" w:rsidTr="00764581">
        <w:trPr>
          <w:trHeight w:val="909"/>
        </w:trPr>
        <w:tc>
          <w:tcPr>
            <w:tcW w:w="2300" w:type="dxa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压力容器正常基本操作及其相关部件识别</w:t>
            </w:r>
          </w:p>
        </w:tc>
        <w:tc>
          <w:tcPr>
            <w:tcW w:w="4122" w:type="dxa"/>
            <w:vMerge w:val="restart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模拟设备一台（空压机、蒸压釜、灭菌器、氨制冷系统、反应釜、储罐、换热器、精馏塔）；应具备与在用设备功能基本一致的主要结构（部件）、安全保护装置及附件等；</w:t>
            </w:r>
          </w:p>
          <w:p w:rsidR="00C75C6E" w:rsidRDefault="007D1D72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设备具有智能化考核程序（计算机控制、评判，语音系统等）。</w:t>
            </w:r>
          </w:p>
        </w:tc>
        <w:tc>
          <w:tcPr>
            <w:tcW w:w="2803" w:type="dxa"/>
            <w:vMerge w:val="restart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200平方米场地；</w:t>
            </w:r>
          </w:p>
          <w:p w:rsidR="00C75C6E" w:rsidRDefault="007D1D72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配备投影仪等辅助设备。</w:t>
            </w:r>
          </w:p>
          <w:p w:rsidR="00764581" w:rsidRDefault="00764581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764581">
              <w:rPr>
                <w:rFonts w:ascii="仿宋" w:eastAsia="仿宋" w:hAnsi="仿宋" w:hint="eastAsia"/>
                <w:sz w:val="24"/>
                <w:szCs w:val="24"/>
              </w:rPr>
              <w:t>还需配备主考室及候考室。</w:t>
            </w:r>
          </w:p>
        </w:tc>
      </w:tr>
      <w:tr w:rsidR="00C75C6E" w:rsidTr="00764581">
        <w:trPr>
          <w:trHeight w:val="964"/>
        </w:trPr>
        <w:tc>
          <w:tcPr>
            <w:tcW w:w="2300" w:type="dxa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压力容器运行时紧急故障处理程序</w:t>
            </w:r>
          </w:p>
        </w:tc>
        <w:tc>
          <w:tcPr>
            <w:tcW w:w="4122" w:type="dxa"/>
            <w:vMerge/>
          </w:tcPr>
          <w:p w:rsidR="00C75C6E" w:rsidRDefault="00C75C6E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C75C6E" w:rsidRDefault="00C75C6E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5C6E" w:rsidTr="00764581">
        <w:trPr>
          <w:trHeight w:val="1242"/>
        </w:trPr>
        <w:tc>
          <w:tcPr>
            <w:tcW w:w="2300" w:type="dxa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移动式压力容器充装设备正常基本操作及其相关部件识别</w:t>
            </w:r>
          </w:p>
        </w:tc>
        <w:tc>
          <w:tcPr>
            <w:tcW w:w="4122" w:type="dxa"/>
            <w:vMerge w:val="restart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模拟设备一台（液化天然气罐车充装、液化石油气罐车充装）；应具备与在用设备功能基本一致的主要结构（部件）、安全保护装置及附件等；</w:t>
            </w:r>
          </w:p>
          <w:p w:rsidR="00C75C6E" w:rsidRDefault="007D1D72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设备具有智能化考核程序（计算机控制、评判，语音系统等）。</w:t>
            </w:r>
          </w:p>
        </w:tc>
        <w:tc>
          <w:tcPr>
            <w:tcW w:w="2803" w:type="dxa"/>
            <w:vMerge w:val="restart"/>
          </w:tcPr>
          <w:p w:rsidR="00C75C6E" w:rsidRDefault="007D1D72" w:rsidP="00C414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200平方米场地；</w:t>
            </w:r>
          </w:p>
          <w:p w:rsidR="00C75C6E" w:rsidRDefault="007D1D72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64581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配备投影仪等辅助设备。</w:t>
            </w:r>
          </w:p>
          <w:p w:rsidR="00764581" w:rsidRDefault="00764581" w:rsidP="0076458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764581">
              <w:rPr>
                <w:rFonts w:ascii="仿宋" w:eastAsia="仿宋" w:hAnsi="仿宋" w:hint="eastAsia"/>
                <w:sz w:val="24"/>
                <w:szCs w:val="24"/>
              </w:rPr>
              <w:t>还需配备主考室及候考室。</w:t>
            </w:r>
          </w:p>
        </w:tc>
      </w:tr>
      <w:tr w:rsidR="00C75C6E" w:rsidTr="00764581">
        <w:trPr>
          <w:trHeight w:val="976"/>
        </w:trPr>
        <w:tc>
          <w:tcPr>
            <w:tcW w:w="2300" w:type="dxa"/>
          </w:tcPr>
          <w:p w:rsidR="00C75C6E" w:rsidRDefault="007D1D72" w:rsidP="00C414FC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移动式压力容器充装时紧急故障处理程序</w:t>
            </w:r>
          </w:p>
        </w:tc>
        <w:tc>
          <w:tcPr>
            <w:tcW w:w="4122" w:type="dxa"/>
            <w:vMerge/>
          </w:tcPr>
          <w:p w:rsidR="00C75C6E" w:rsidRDefault="00C75C6E" w:rsidP="00C414FC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2803" w:type="dxa"/>
            <w:vMerge/>
          </w:tcPr>
          <w:p w:rsidR="00C75C6E" w:rsidRDefault="00C75C6E" w:rsidP="00C414FC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C75C6E" w:rsidRPr="00006D69" w:rsidRDefault="00C75C6E" w:rsidP="00006D6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75C6E" w:rsidRPr="00006D69" w:rsidSect="00C414FC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05EB1"/>
    <w:multiLevelType w:val="singleLevel"/>
    <w:tmpl w:val="80305EB1"/>
    <w:lvl w:ilvl="0">
      <w:start w:val="1"/>
      <w:numFmt w:val="decimal"/>
      <w:suff w:val="nothing"/>
      <w:lvlText w:val="%1、"/>
      <w:lvlJc w:val="left"/>
    </w:lvl>
  </w:abstractNum>
  <w:abstractNum w:abstractNumId="1">
    <w:nsid w:val="AB606A41"/>
    <w:multiLevelType w:val="singleLevel"/>
    <w:tmpl w:val="AB606A41"/>
    <w:lvl w:ilvl="0">
      <w:start w:val="1"/>
      <w:numFmt w:val="decimal"/>
      <w:suff w:val="nothing"/>
      <w:lvlText w:val="%1、"/>
      <w:lvlJc w:val="left"/>
    </w:lvl>
  </w:abstractNum>
  <w:abstractNum w:abstractNumId="2">
    <w:nsid w:val="B4E25146"/>
    <w:multiLevelType w:val="singleLevel"/>
    <w:tmpl w:val="B4E25146"/>
    <w:lvl w:ilvl="0">
      <w:start w:val="1"/>
      <w:numFmt w:val="decimal"/>
      <w:suff w:val="nothing"/>
      <w:lvlText w:val="%1、"/>
      <w:lvlJc w:val="left"/>
    </w:lvl>
  </w:abstractNum>
  <w:abstractNum w:abstractNumId="3">
    <w:nsid w:val="C2B18B9A"/>
    <w:multiLevelType w:val="singleLevel"/>
    <w:tmpl w:val="C2B18B9A"/>
    <w:lvl w:ilvl="0">
      <w:start w:val="1"/>
      <w:numFmt w:val="decimal"/>
      <w:suff w:val="nothing"/>
      <w:lvlText w:val="%1、"/>
      <w:lvlJc w:val="left"/>
    </w:lvl>
  </w:abstractNum>
  <w:abstractNum w:abstractNumId="4">
    <w:nsid w:val="178B9097"/>
    <w:multiLevelType w:val="singleLevel"/>
    <w:tmpl w:val="178B9097"/>
    <w:lvl w:ilvl="0">
      <w:start w:val="1"/>
      <w:numFmt w:val="decimal"/>
      <w:suff w:val="nothing"/>
      <w:lvlText w:val="%1、"/>
      <w:lvlJc w:val="left"/>
    </w:lvl>
  </w:abstractNum>
  <w:abstractNum w:abstractNumId="5">
    <w:nsid w:val="23157E11"/>
    <w:multiLevelType w:val="singleLevel"/>
    <w:tmpl w:val="23157E11"/>
    <w:lvl w:ilvl="0">
      <w:start w:val="1"/>
      <w:numFmt w:val="decimal"/>
      <w:suff w:val="nothing"/>
      <w:lvlText w:val="%1、"/>
      <w:lvlJc w:val="left"/>
    </w:lvl>
  </w:abstractNum>
  <w:abstractNum w:abstractNumId="6">
    <w:nsid w:val="45BA232B"/>
    <w:multiLevelType w:val="singleLevel"/>
    <w:tmpl w:val="45BA232B"/>
    <w:lvl w:ilvl="0">
      <w:start w:val="1"/>
      <w:numFmt w:val="decimal"/>
      <w:suff w:val="nothing"/>
      <w:lvlText w:val="%1、"/>
      <w:lvlJc w:val="left"/>
    </w:lvl>
  </w:abstractNum>
  <w:abstractNum w:abstractNumId="7">
    <w:nsid w:val="7C350307"/>
    <w:multiLevelType w:val="singleLevel"/>
    <w:tmpl w:val="7C35030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E2B2A38"/>
    <w:multiLevelType w:val="singleLevel"/>
    <w:tmpl w:val="7E2B2A38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4"/>
    <w:rsid w:val="00006D69"/>
    <w:rsid w:val="00012282"/>
    <w:rsid w:val="00021947"/>
    <w:rsid w:val="00046D9F"/>
    <w:rsid w:val="000666DA"/>
    <w:rsid w:val="00085F44"/>
    <w:rsid w:val="0009768C"/>
    <w:rsid w:val="000C67B2"/>
    <w:rsid w:val="00101B1D"/>
    <w:rsid w:val="00132F55"/>
    <w:rsid w:val="00163A96"/>
    <w:rsid w:val="001A2ACE"/>
    <w:rsid w:val="001C26C8"/>
    <w:rsid w:val="001F1E1C"/>
    <w:rsid w:val="00201C3A"/>
    <w:rsid w:val="00237F66"/>
    <w:rsid w:val="002574A5"/>
    <w:rsid w:val="00313989"/>
    <w:rsid w:val="003170AE"/>
    <w:rsid w:val="0037346F"/>
    <w:rsid w:val="00373559"/>
    <w:rsid w:val="003E229B"/>
    <w:rsid w:val="00427CD1"/>
    <w:rsid w:val="0046369A"/>
    <w:rsid w:val="0048771F"/>
    <w:rsid w:val="00537CEF"/>
    <w:rsid w:val="005513D9"/>
    <w:rsid w:val="00563E9C"/>
    <w:rsid w:val="005B618E"/>
    <w:rsid w:val="00607449"/>
    <w:rsid w:val="006229FD"/>
    <w:rsid w:val="00637C44"/>
    <w:rsid w:val="006B20F3"/>
    <w:rsid w:val="006B6FA2"/>
    <w:rsid w:val="006E3BD9"/>
    <w:rsid w:val="00715F97"/>
    <w:rsid w:val="00757BC2"/>
    <w:rsid w:val="00764581"/>
    <w:rsid w:val="007C468A"/>
    <w:rsid w:val="007D1D72"/>
    <w:rsid w:val="008064F9"/>
    <w:rsid w:val="00830B0C"/>
    <w:rsid w:val="00863BC3"/>
    <w:rsid w:val="008667ED"/>
    <w:rsid w:val="008B672C"/>
    <w:rsid w:val="008F51DF"/>
    <w:rsid w:val="00925ECF"/>
    <w:rsid w:val="0094401D"/>
    <w:rsid w:val="009E1270"/>
    <w:rsid w:val="009F646A"/>
    <w:rsid w:val="00A33B7C"/>
    <w:rsid w:val="00A62DA4"/>
    <w:rsid w:val="00A94811"/>
    <w:rsid w:val="00B479F2"/>
    <w:rsid w:val="00BC6EE6"/>
    <w:rsid w:val="00BD5330"/>
    <w:rsid w:val="00C414FC"/>
    <w:rsid w:val="00C5692F"/>
    <w:rsid w:val="00C67A1E"/>
    <w:rsid w:val="00C71064"/>
    <w:rsid w:val="00C75C6E"/>
    <w:rsid w:val="00D2545B"/>
    <w:rsid w:val="00D81273"/>
    <w:rsid w:val="00D85FC1"/>
    <w:rsid w:val="00E4314D"/>
    <w:rsid w:val="00E43CBE"/>
    <w:rsid w:val="00E44429"/>
    <w:rsid w:val="00E4743A"/>
    <w:rsid w:val="00E533B0"/>
    <w:rsid w:val="00E6771B"/>
    <w:rsid w:val="00EA5FE6"/>
    <w:rsid w:val="00EC0B09"/>
    <w:rsid w:val="00EE315C"/>
    <w:rsid w:val="00EF4171"/>
    <w:rsid w:val="00F36DE1"/>
    <w:rsid w:val="00F7186B"/>
    <w:rsid w:val="00F753E8"/>
    <w:rsid w:val="00FE1AFA"/>
    <w:rsid w:val="02B137F6"/>
    <w:rsid w:val="03015B8E"/>
    <w:rsid w:val="04524BF8"/>
    <w:rsid w:val="07882F52"/>
    <w:rsid w:val="07A1067F"/>
    <w:rsid w:val="07F01E0A"/>
    <w:rsid w:val="08103B56"/>
    <w:rsid w:val="0B5E3BD0"/>
    <w:rsid w:val="0D6E4AB4"/>
    <w:rsid w:val="0F197245"/>
    <w:rsid w:val="1029397B"/>
    <w:rsid w:val="120250FD"/>
    <w:rsid w:val="120B2A0D"/>
    <w:rsid w:val="13832C90"/>
    <w:rsid w:val="16677C0E"/>
    <w:rsid w:val="17034EF4"/>
    <w:rsid w:val="17EC5F01"/>
    <w:rsid w:val="1A75249C"/>
    <w:rsid w:val="212749E1"/>
    <w:rsid w:val="218C3DB3"/>
    <w:rsid w:val="22C84A5E"/>
    <w:rsid w:val="24A64164"/>
    <w:rsid w:val="25163CDD"/>
    <w:rsid w:val="29313814"/>
    <w:rsid w:val="294C10B7"/>
    <w:rsid w:val="2B4A6B76"/>
    <w:rsid w:val="2FFB7B31"/>
    <w:rsid w:val="350C3753"/>
    <w:rsid w:val="378824F6"/>
    <w:rsid w:val="3AF07148"/>
    <w:rsid w:val="3B070604"/>
    <w:rsid w:val="3FE77DF7"/>
    <w:rsid w:val="3FEF0FD0"/>
    <w:rsid w:val="469D3612"/>
    <w:rsid w:val="47482592"/>
    <w:rsid w:val="4EF96491"/>
    <w:rsid w:val="51343570"/>
    <w:rsid w:val="528546EF"/>
    <w:rsid w:val="545C1D57"/>
    <w:rsid w:val="571E2B23"/>
    <w:rsid w:val="5C0C01C1"/>
    <w:rsid w:val="5C7D2354"/>
    <w:rsid w:val="5CD469C4"/>
    <w:rsid w:val="5E3A4825"/>
    <w:rsid w:val="5FA66D43"/>
    <w:rsid w:val="617E27A5"/>
    <w:rsid w:val="619D6256"/>
    <w:rsid w:val="62690194"/>
    <w:rsid w:val="637E557C"/>
    <w:rsid w:val="63BE6311"/>
    <w:rsid w:val="664B6B85"/>
    <w:rsid w:val="66EF0A19"/>
    <w:rsid w:val="69442926"/>
    <w:rsid w:val="69EF2800"/>
    <w:rsid w:val="702E2AE7"/>
    <w:rsid w:val="730E196E"/>
    <w:rsid w:val="7954182B"/>
    <w:rsid w:val="7CA0653E"/>
    <w:rsid w:val="7D4F0FCA"/>
    <w:rsid w:val="7ECD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1">
    <w:name w:val="正文文本 (2)1"/>
    <w:basedOn w:val="a"/>
    <w:link w:val="2"/>
    <w:uiPriority w:val="99"/>
    <w:unhideWhenUsed/>
    <w:qFormat/>
    <w:pPr>
      <w:shd w:val="clear" w:color="auto" w:fill="FFFFFF"/>
      <w:spacing w:line="398" w:lineRule="exact"/>
      <w:jc w:val="distribute"/>
    </w:pPr>
    <w:rPr>
      <w:rFonts w:ascii="宋体" w:eastAsia="Times New Roman" w:hint="eastAsia"/>
      <w:sz w:val="24"/>
    </w:rPr>
  </w:style>
  <w:style w:type="character" w:customStyle="1" w:styleId="2">
    <w:name w:val="正文文本 (2)_"/>
    <w:basedOn w:val="a0"/>
    <w:link w:val="21"/>
    <w:uiPriority w:val="99"/>
    <w:unhideWhenUsed/>
    <w:qFormat/>
    <w:locked/>
    <w:rPr>
      <w:rFonts w:ascii="宋体" w:eastAsia="Times New Roman" w:hint="eastAsia"/>
      <w:sz w:val="24"/>
      <w:lang w:val="en-US" w:eastAsia="zh-CN"/>
    </w:rPr>
  </w:style>
  <w:style w:type="character" w:customStyle="1" w:styleId="21pt1">
    <w:name w:val="正文文本 (2) + 间距 1 pt1"/>
    <w:basedOn w:val="2"/>
    <w:uiPriority w:val="99"/>
    <w:unhideWhenUsed/>
    <w:qFormat/>
    <w:rPr>
      <w:rFonts w:ascii="宋体" w:eastAsia="Times New Roman" w:hint="eastAsia"/>
      <w:spacing w:val="20"/>
      <w:sz w:val="24"/>
      <w:lang w:val="en-US" w:eastAsia="zh-CN"/>
    </w:rPr>
  </w:style>
  <w:style w:type="character" w:customStyle="1" w:styleId="10">
    <w:name w:val="正文文本 (10)"/>
    <w:basedOn w:val="100"/>
    <w:uiPriority w:val="99"/>
    <w:unhideWhenUsed/>
    <w:qFormat/>
    <w:rPr>
      <w:rFonts w:ascii="宋体" w:eastAsia="Times New Roman" w:hint="eastAsia"/>
      <w:b/>
      <w:sz w:val="24"/>
      <w:lang w:val="en-US" w:eastAsia="zh-CN"/>
    </w:rPr>
  </w:style>
  <w:style w:type="character" w:customStyle="1" w:styleId="100">
    <w:name w:val="正文文本 (10)_"/>
    <w:basedOn w:val="a0"/>
    <w:link w:val="101"/>
    <w:uiPriority w:val="99"/>
    <w:unhideWhenUsed/>
    <w:qFormat/>
    <w:locked/>
    <w:rPr>
      <w:rFonts w:ascii="宋体" w:eastAsia="Times New Roman" w:hint="eastAsia"/>
      <w:b/>
      <w:sz w:val="24"/>
      <w:lang w:val="en-US" w:eastAsia="zh-CN"/>
    </w:rPr>
  </w:style>
  <w:style w:type="paragraph" w:customStyle="1" w:styleId="101">
    <w:name w:val="正文文本 (10)1"/>
    <w:basedOn w:val="a"/>
    <w:link w:val="100"/>
    <w:uiPriority w:val="99"/>
    <w:unhideWhenUsed/>
    <w:qFormat/>
    <w:pPr>
      <w:shd w:val="clear" w:color="auto" w:fill="FFFFFF"/>
      <w:spacing w:line="240" w:lineRule="atLeast"/>
    </w:pPr>
    <w:rPr>
      <w:rFonts w:ascii="宋体" w:eastAsia="Times New Roman" w:hint="eastAsia"/>
      <w:b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710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10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1">
    <w:name w:val="正文文本 (2)1"/>
    <w:basedOn w:val="a"/>
    <w:link w:val="2"/>
    <w:uiPriority w:val="99"/>
    <w:unhideWhenUsed/>
    <w:qFormat/>
    <w:pPr>
      <w:shd w:val="clear" w:color="auto" w:fill="FFFFFF"/>
      <w:spacing w:line="398" w:lineRule="exact"/>
      <w:jc w:val="distribute"/>
    </w:pPr>
    <w:rPr>
      <w:rFonts w:ascii="宋体" w:eastAsia="Times New Roman" w:hint="eastAsia"/>
      <w:sz w:val="24"/>
    </w:rPr>
  </w:style>
  <w:style w:type="character" w:customStyle="1" w:styleId="2">
    <w:name w:val="正文文本 (2)_"/>
    <w:basedOn w:val="a0"/>
    <w:link w:val="21"/>
    <w:uiPriority w:val="99"/>
    <w:unhideWhenUsed/>
    <w:qFormat/>
    <w:locked/>
    <w:rPr>
      <w:rFonts w:ascii="宋体" w:eastAsia="Times New Roman" w:hint="eastAsia"/>
      <w:sz w:val="24"/>
      <w:lang w:val="en-US" w:eastAsia="zh-CN"/>
    </w:rPr>
  </w:style>
  <w:style w:type="character" w:customStyle="1" w:styleId="21pt1">
    <w:name w:val="正文文本 (2) + 间距 1 pt1"/>
    <w:basedOn w:val="2"/>
    <w:uiPriority w:val="99"/>
    <w:unhideWhenUsed/>
    <w:qFormat/>
    <w:rPr>
      <w:rFonts w:ascii="宋体" w:eastAsia="Times New Roman" w:hint="eastAsia"/>
      <w:spacing w:val="20"/>
      <w:sz w:val="24"/>
      <w:lang w:val="en-US" w:eastAsia="zh-CN"/>
    </w:rPr>
  </w:style>
  <w:style w:type="character" w:customStyle="1" w:styleId="10">
    <w:name w:val="正文文本 (10)"/>
    <w:basedOn w:val="100"/>
    <w:uiPriority w:val="99"/>
    <w:unhideWhenUsed/>
    <w:qFormat/>
    <w:rPr>
      <w:rFonts w:ascii="宋体" w:eastAsia="Times New Roman" w:hint="eastAsia"/>
      <w:b/>
      <w:sz w:val="24"/>
      <w:lang w:val="en-US" w:eastAsia="zh-CN"/>
    </w:rPr>
  </w:style>
  <w:style w:type="character" w:customStyle="1" w:styleId="100">
    <w:name w:val="正文文本 (10)_"/>
    <w:basedOn w:val="a0"/>
    <w:link w:val="101"/>
    <w:uiPriority w:val="99"/>
    <w:unhideWhenUsed/>
    <w:qFormat/>
    <w:locked/>
    <w:rPr>
      <w:rFonts w:ascii="宋体" w:eastAsia="Times New Roman" w:hint="eastAsia"/>
      <w:b/>
      <w:sz w:val="24"/>
      <w:lang w:val="en-US" w:eastAsia="zh-CN"/>
    </w:rPr>
  </w:style>
  <w:style w:type="paragraph" w:customStyle="1" w:styleId="101">
    <w:name w:val="正文文本 (10)1"/>
    <w:basedOn w:val="a"/>
    <w:link w:val="100"/>
    <w:uiPriority w:val="99"/>
    <w:unhideWhenUsed/>
    <w:qFormat/>
    <w:pPr>
      <w:shd w:val="clear" w:color="auto" w:fill="FFFFFF"/>
      <w:spacing w:line="240" w:lineRule="atLeast"/>
    </w:pPr>
    <w:rPr>
      <w:rFonts w:ascii="宋体" w:eastAsia="Times New Roman" w:hint="eastAsia"/>
      <w:b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710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10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4563A-8281-4F81-A643-68D17BCB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我</cp:lastModifiedBy>
  <cp:revision>6</cp:revision>
  <cp:lastPrinted>2020-11-23T07:15:00Z</cp:lastPrinted>
  <dcterms:created xsi:type="dcterms:W3CDTF">2020-11-23T06:50:00Z</dcterms:created>
  <dcterms:modified xsi:type="dcterms:W3CDTF">2020-12-09T08:32:00Z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