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F" w:rsidRPr="00AE4865" w:rsidRDefault="002B1629" w:rsidP="00CB2BD2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AE4865">
        <w:rPr>
          <w:rFonts w:ascii="宋体" w:eastAsia="宋体" w:hAnsi="宋体" w:hint="eastAsia"/>
          <w:b/>
          <w:sz w:val="32"/>
          <w:szCs w:val="32"/>
        </w:rPr>
        <w:t>游乐设施操作</w:t>
      </w:r>
      <w:r w:rsidR="00637C44" w:rsidRPr="00AE4865">
        <w:rPr>
          <w:rFonts w:ascii="宋体" w:eastAsia="宋体" w:hAnsi="宋体"/>
          <w:b/>
          <w:sz w:val="32"/>
          <w:szCs w:val="32"/>
        </w:rPr>
        <w:t>专项职</w:t>
      </w:r>
      <w:r w:rsidR="00637C44" w:rsidRPr="00AE4865">
        <w:rPr>
          <w:rFonts w:ascii="宋体" w:eastAsia="宋体" w:hAnsi="宋体" w:hint="eastAsia"/>
          <w:b/>
          <w:sz w:val="32"/>
          <w:szCs w:val="32"/>
        </w:rPr>
        <w:t>业</w:t>
      </w:r>
      <w:r w:rsidR="00637C44" w:rsidRPr="00AE4865">
        <w:rPr>
          <w:rFonts w:ascii="宋体" w:eastAsia="宋体" w:hAnsi="宋体"/>
          <w:b/>
          <w:sz w:val="32"/>
          <w:szCs w:val="32"/>
        </w:rPr>
        <w:t>能力考核规范</w:t>
      </w:r>
    </w:p>
    <w:p w:rsidR="00FD4802" w:rsidRDefault="00FD4802" w:rsidP="00CB2BD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637C44" w:rsidRPr="00AE4865" w:rsidRDefault="00AE4865" w:rsidP="00CB2BD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637C44" w:rsidRPr="00AE4865">
        <w:rPr>
          <w:rFonts w:ascii="仿宋" w:eastAsia="仿宋" w:hAnsi="仿宋" w:hint="eastAsia"/>
          <w:b/>
          <w:sz w:val="28"/>
          <w:szCs w:val="28"/>
        </w:rPr>
        <w:t>定义</w:t>
      </w:r>
    </w:p>
    <w:p w:rsidR="00637C44" w:rsidRPr="00AE4865" w:rsidRDefault="004D6DC8" w:rsidP="00CB2BD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E4865">
        <w:rPr>
          <w:rFonts w:ascii="仿宋" w:eastAsia="仿宋" w:hAnsi="仿宋" w:hint="eastAsia"/>
          <w:sz w:val="28"/>
          <w:szCs w:val="28"/>
        </w:rPr>
        <w:t>掌握</w:t>
      </w:r>
      <w:r w:rsidR="004D3C6F" w:rsidRPr="00AE4865">
        <w:rPr>
          <w:rFonts w:ascii="仿宋" w:eastAsia="仿宋" w:hAnsi="仿宋" w:hint="eastAsia"/>
          <w:sz w:val="28"/>
          <w:szCs w:val="28"/>
        </w:rPr>
        <w:t>游乐设施安</w:t>
      </w:r>
      <w:r w:rsidRPr="00AE4865">
        <w:rPr>
          <w:rFonts w:ascii="仿宋" w:eastAsia="仿宋" w:hAnsi="仿宋" w:hint="eastAsia"/>
          <w:sz w:val="28"/>
          <w:szCs w:val="28"/>
        </w:rPr>
        <w:t>产品安全技术</w:t>
      </w:r>
      <w:r w:rsidR="00571FDF" w:rsidRPr="00AE4865">
        <w:rPr>
          <w:rFonts w:ascii="仿宋" w:eastAsia="仿宋" w:hAnsi="仿宋" w:hint="eastAsia"/>
          <w:sz w:val="28"/>
          <w:szCs w:val="28"/>
        </w:rPr>
        <w:t>与</w:t>
      </w:r>
      <w:r w:rsidRPr="00AE4865">
        <w:rPr>
          <w:rFonts w:ascii="仿宋" w:eastAsia="仿宋" w:hAnsi="仿宋" w:hint="eastAsia"/>
          <w:sz w:val="28"/>
          <w:szCs w:val="28"/>
        </w:rPr>
        <w:t>运营安全要求</w:t>
      </w:r>
      <w:r w:rsidR="004D3C6F" w:rsidRPr="00AE4865">
        <w:rPr>
          <w:rFonts w:ascii="仿宋" w:eastAsia="仿宋" w:hAnsi="仿宋" w:hint="eastAsia"/>
          <w:sz w:val="28"/>
          <w:szCs w:val="28"/>
        </w:rPr>
        <w:t>，熟悉并执行操作规程，</w:t>
      </w:r>
      <w:r w:rsidR="002F73CC" w:rsidRPr="00AE4865">
        <w:rPr>
          <w:rFonts w:ascii="仿宋" w:eastAsia="仿宋" w:hAnsi="仿宋" w:hint="eastAsia"/>
          <w:sz w:val="28"/>
          <w:szCs w:val="28"/>
        </w:rPr>
        <w:t>在运行过程中</w:t>
      </w:r>
      <w:r w:rsidR="00537CEF" w:rsidRPr="00AE4865">
        <w:rPr>
          <w:rFonts w:ascii="仿宋" w:eastAsia="仿宋" w:hAnsi="仿宋" w:hint="eastAsia"/>
          <w:sz w:val="28"/>
          <w:szCs w:val="28"/>
        </w:rPr>
        <w:t>能正确</w:t>
      </w:r>
      <w:r w:rsidR="00132F55" w:rsidRPr="00AE4865">
        <w:rPr>
          <w:rFonts w:ascii="仿宋" w:eastAsia="仿宋" w:hAnsi="仿宋" w:hint="eastAsia"/>
          <w:sz w:val="28"/>
          <w:szCs w:val="28"/>
        </w:rPr>
        <w:t>分析存在问题</w:t>
      </w:r>
      <w:r w:rsidR="00537CEF" w:rsidRPr="00AE4865">
        <w:rPr>
          <w:rFonts w:ascii="仿宋" w:eastAsia="仿宋" w:hAnsi="仿宋" w:hint="eastAsia"/>
          <w:sz w:val="28"/>
          <w:szCs w:val="28"/>
        </w:rPr>
        <w:t>并组</w:t>
      </w:r>
      <w:r w:rsidR="00E6771B" w:rsidRPr="00AE4865">
        <w:rPr>
          <w:rFonts w:ascii="仿宋" w:eastAsia="仿宋" w:hAnsi="仿宋" w:hint="eastAsia"/>
          <w:sz w:val="28"/>
          <w:szCs w:val="28"/>
        </w:rPr>
        <w:t>织协调</w:t>
      </w:r>
      <w:r w:rsidR="00537CEF" w:rsidRPr="00AE4865">
        <w:rPr>
          <w:rFonts w:ascii="仿宋" w:eastAsia="仿宋" w:hAnsi="仿宋" w:hint="eastAsia"/>
          <w:sz w:val="28"/>
          <w:szCs w:val="28"/>
        </w:rPr>
        <w:t>相关人员采用安全技术手段</w:t>
      </w:r>
      <w:r w:rsidR="004D3C6F" w:rsidRPr="00AE4865">
        <w:rPr>
          <w:rFonts w:ascii="仿宋" w:eastAsia="仿宋" w:hAnsi="仿宋" w:hint="eastAsia"/>
          <w:sz w:val="28"/>
          <w:szCs w:val="28"/>
        </w:rPr>
        <w:t>与应急救援</w:t>
      </w:r>
      <w:r w:rsidR="00537CEF" w:rsidRPr="00AE4865">
        <w:rPr>
          <w:rFonts w:ascii="仿宋" w:eastAsia="仿宋" w:hAnsi="仿宋" w:hint="eastAsia"/>
          <w:sz w:val="28"/>
          <w:szCs w:val="28"/>
        </w:rPr>
        <w:t>，将被困人员</w:t>
      </w:r>
      <w:r w:rsidR="00C67A1E" w:rsidRPr="00AE4865">
        <w:rPr>
          <w:rFonts w:ascii="仿宋" w:eastAsia="仿宋" w:hAnsi="仿宋" w:hint="eastAsia"/>
          <w:sz w:val="28"/>
          <w:szCs w:val="28"/>
        </w:rPr>
        <w:t>及</w:t>
      </w:r>
      <w:r w:rsidR="00132F55" w:rsidRPr="00AE4865">
        <w:rPr>
          <w:rFonts w:ascii="仿宋" w:eastAsia="仿宋" w:hAnsi="仿宋" w:hint="eastAsia"/>
          <w:sz w:val="28"/>
          <w:szCs w:val="28"/>
        </w:rPr>
        <w:t>设备</w:t>
      </w:r>
      <w:r w:rsidR="00C67A1E" w:rsidRPr="00AE4865">
        <w:rPr>
          <w:rFonts w:ascii="仿宋" w:eastAsia="仿宋" w:hAnsi="仿宋" w:hint="eastAsia"/>
          <w:sz w:val="28"/>
          <w:szCs w:val="28"/>
        </w:rPr>
        <w:t>处于安全状态</w:t>
      </w:r>
      <w:r w:rsidR="00537CEF" w:rsidRPr="00AE4865">
        <w:rPr>
          <w:rFonts w:ascii="仿宋" w:eastAsia="仿宋" w:hAnsi="仿宋" w:hint="eastAsia"/>
          <w:sz w:val="28"/>
          <w:szCs w:val="28"/>
        </w:rPr>
        <w:t>的能力。</w:t>
      </w:r>
    </w:p>
    <w:p w:rsidR="00537CEF" w:rsidRPr="00AE4865" w:rsidRDefault="00AE4865" w:rsidP="00CB2BD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537CEF" w:rsidRPr="00AE4865">
        <w:rPr>
          <w:rFonts w:ascii="仿宋" w:eastAsia="仿宋" w:hAnsi="仿宋" w:hint="eastAsia"/>
          <w:b/>
          <w:sz w:val="28"/>
          <w:szCs w:val="28"/>
        </w:rPr>
        <w:t>适用对象</w:t>
      </w:r>
    </w:p>
    <w:p w:rsidR="00AE4865" w:rsidRDefault="002F73CC" w:rsidP="00CB2BD2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AE4865">
        <w:rPr>
          <w:rFonts w:ascii="仿宋" w:eastAsia="仿宋" w:hAnsi="仿宋" w:hint="eastAsia"/>
          <w:sz w:val="28"/>
          <w:szCs w:val="28"/>
        </w:rPr>
        <w:t>运用或准备运用本项能力求职、就业的人员</w:t>
      </w:r>
      <w:r w:rsidR="00E6771B" w:rsidRPr="00AE4865">
        <w:rPr>
          <w:rFonts w:ascii="仿宋" w:eastAsia="仿宋" w:hAnsi="仿宋" w:hint="eastAsia"/>
          <w:sz w:val="28"/>
          <w:szCs w:val="28"/>
        </w:rPr>
        <w:t>。</w:t>
      </w:r>
    </w:p>
    <w:p w:rsidR="008D3073" w:rsidRPr="00AE4865" w:rsidRDefault="00AE4865" w:rsidP="00CB2BD2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8D3073" w:rsidRPr="00AE4865">
        <w:rPr>
          <w:rFonts w:ascii="仿宋" w:eastAsia="仿宋" w:hAnsi="仿宋" w:hint="eastAsia"/>
          <w:b/>
          <w:sz w:val="28"/>
          <w:szCs w:val="28"/>
        </w:rPr>
        <w:t>能力标准与鉴定内容</w:t>
      </w:r>
    </w:p>
    <w:tbl>
      <w:tblPr>
        <w:tblpPr w:leftFromText="180" w:rightFromText="180" w:vertAnchor="text" w:horzAnchor="margin" w:tblpX="-601" w:tblpY="60"/>
        <w:tblW w:w="9781" w:type="dxa"/>
        <w:tblLook w:val="04A0" w:firstRow="1" w:lastRow="0" w:firstColumn="1" w:lastColumn="0" w:noHBand="0" w:noVBand="1"/>
      </w:tblPr>
      <w:tblGrid>
        <w:gridCol w:w="1668"/>
        <w:gridCol w:w="2018"/>
        <w:gridCol w:w="4678"/>
        <w:gridCol w:w="1417"/>
      </w:tblGrid>
      <w:tr w:rsidR="007F4E42" w:rsidRPr="00AE4865" w:rsidTr="00AE4865">
        <w:trPr>
          <w:trHeight w:val="3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AE4865" w:rsidP="00CB2BD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</w:t>
            </w:r>
            <w:r w:rsidR="007F4E42" w:rsidRPr="00AE486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游乐设施操作         </w:t>
            </w:r>
            <w:r w:rsidR="007F4E42" w:rsidRPr="00AE4865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CB2BD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="007F4E42" w:rsidRPr="00AE486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</w:t>
            </w:r>
            <w:r w:rsidR="007F4E42" w:rsidRPr="00AE4865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生产、运输设备操作</w:t>
            </w:r>
          </w:p>
        </w:tc>
      </w:tr>
      <w:tr w:rsidR="007F4E42" w:rsidRPr="00AE4865" w:rsidTr="00AE4865">
        <w:trPr>
          <w:trHeight w:val="2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7F4E42" w:rsidRPr="00AE4865" w:rsidTr="00AE4865">
        <w:trPr>
          <w:trHeight w:val="7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一、部件识别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游乐设施安全束缚装置识别</w:t>
            </w:r>
          </w:p>
          <w:p w:rsidR="007F4E42" w:rsidRPr="00AE4865" w:rsidRDefault="007F4E42" w:rsidP="00CB2BD2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游乐设施安全保护装置识别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1、能指出设备的所有安全束缚装置；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2、能够实际操作安全压杆安全束缚装置，并有效束缚游客。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3、能指出考试设备的全部安全保护装置；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7F4E42" w:rsidRPr="00AE4865" w:rsidTr="00AE4865">
        <w:trPr>
          <w:trHeight w:val="7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二、安全运行操作能力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游乐设施运营前准备</w:t>
            </w:r>
          </w:p>
          <w:p w:rsidR="007F4E42" w:rsidRPr="00AE4865" w:rsidRDefault="007F4E42" w:rsidP="00CB2BD2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游乐设施运营接待时操作能力</w:t>
            </w:r>
          </w:p>
          <w:p w:rsidR="007F4E42" w:rsidRPr="00AE4865" w:rsidRDefault="007F4E42" w:rsidP="00CB2BD2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游乐设施</w:t>
            </w:r>
            <w:r w:rsidRPr="00AE486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运营结束后操作能力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1、熟悉主操、副操、主控多岗位职责；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2、能正确检查操控室内各按钮开关、操纵手柄等设备；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3、能正确检查安全束缚装置与安全保护装置；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、能够正确及时反馈检查结果。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、能够在游客进入设备前，做好安全提示和正确引导；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、能熟悉使用游乐设施操作时所使用的手势；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、能在设备启动后密切观察设备状态和搭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载客动态等候游客状态；</w:t>
            </w:r>
          </w:p>
          <w:p w:rsidR="007F4E42" w:rsidRPr="00AE4865" w:rsidRDefault="007F4E42" w:rsidP="00CB2BD2">
            <w:pPr>
              <w:pStyle w:val="a4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、能在设备停稳后，正确疏散乘客。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7F4E42" w:rsidRPr="00AE4865" w:rsidTr="00AE4865">
        <w:trPr>
          <w:trHeight w:val="6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三、应急处置能力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rPr>
                <w:rFonts w:ascii="仿宋" w:eastAsia="仿宋" w:hAnsi="仿宋"/>
                <w:spacing w:val="8"/>
                <w:sz w:val="24"/>
                <w:szCs w:val="24"/>
                <w:shd w:val="clear" w:color="auto" w:fill="FFFFFF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触电急救</w:t>
            </w: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。</w:t>
            </w:r>
          </w:p>
          <w:p w:rsidR="007F4E42" w:rsidRPr="00AE4865" w:rsidRDefault="007F4E42" w:rsidP="00CB2BD2">
            <w:pPr>
              <w:widowControl/>
              <w:spacing w:line="360" w:lineRule="auto"/>
              <w:rPr>
                <w:rFonts w:ascii="仿宋" w:eastAsia="仿宋" w:hAnsi="仿宋"/>
                <w:spacing w:val="8"/>
                <w:sz w:val="24"/>
                <w:szCs w:val="24"/>
                <w:shd w:val="clear" w:color="auto" w:fill="FFFFFF"/>
              </w:rPr>
            </w:pP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2</w:t>
            </w:r>
            <w:r w:rsidRPr="00AE4865">
              <w:rPr>
                <w:rFonts w:ascii="仿宋" w:eastAsia="仿宋" w:hAnsi="仿宋"/>
                <w:spacing w:val="8"/>
                <w:sz w:val="24"/>
                <w:szCs w:val="24"/>
                <w:shd w:val="clear" w:color="auto" w:fill="FFFFFF"/>
              </w:rPr>
              <w:t>.</w:t>
            </w: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正确穿戴安全带。</w:t>
            </w:r>
          </w:p>
          <w:p w:rsidR="007F4E42" w:rsidRPr="00CB2BD2" w:rsidRDefault="007F4E42" w:rsidP="00CB2BD2">
            <w:pPr>
              <w:widowControl/>
              <w:spacing w:line="360" w:lineRule="auto"/>
              <w:rPr>
                <w:rFonts w:ascii="仿宋" w:eastAsia="仿宋" w:hAnsi="仿宋"/>
                <w:spacing w:val="8"/>
                <w:sz w:val="24"/>
                <w:szCs w:val="24"/>
                <w:shd w:val="clear" w:color="auto" w:fill="FFFFFF"/>
              </w:rPr>
            </w:pP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3</w:t>
            </w:r>
            <w:r w:rsidRPr="00AE4865">
              <w:rPr>
                <w:rFonts w:ascii="仿宋" w:eastAsia="仿宋" w:hAnsi="仿宋"/>
                <w:spacing w:val="8"/>
                <w:sz w:val="24"/>
                <w:szCs w:val="24"/>
                <w:shd w:val="clear" w:color="auto" w:fill="FFFFFF"/>
              </w:rPr>
              <w:t>.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人工呼吸与心肺复苏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pStyle w:val="a4"/>
              <w:widowControl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pacing w:val="8"/>
                <w:sz w:val="24"/>
                <w:szCs w:val="24"/>
                <w:shd w:val="clear" w:color="auto" w:fill="FFFFFF"/>
              </w:rPr>
            </w:pP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能熟悉</w:t>
            </w: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脱离电源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流程，能确认救援时人员处于安全状态。</w:t>
            </w:r>
          </w:p>
          <w:p w:rsidR="007F4E42" w:rsidRPr="00AE4865" w:rsidRDefault="007F4E42" w:rsidP="00CB2BD2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正确穿戴安全带，松紧合适，防松及拉紧调节到位，保险钩佩戴合理。</w:t>
            </w:r>
          </w:p>
          <w:p w:rsidR="007F4E42" w:rsidRPr="00AE4865" w:rsidRDefault="007F4E42" w:rsidP="00CB2BD2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能够现场操作电子假人人工呼吸，要求</w:t>
            </w:r>
            <w:r w:rsidRPr="00AE4865">
              <w:rPr>
                <w:rFonts w:ascii="仿宋" w:eastAsia="仿宋" w:hAnsi="仿宋"/>
                <w:spacing w:val="8"/>
                <w:sz w:val="24"/>
                <w:szCs w:val="24"/>
                <w:shd w:val="clear" w:color="auto" w:fill="FFFFFF"/>
              </w:rPr>
              <w:t>3</w:t>
            </w:r>
            <w:r w:rsidRPr="00AE4865">
              <w:rPr>
                <w:rFonts w:ascii="仿宋" w:eastAsia="仿宋" w:hAnsi="仿宋" w:hint="eastAsia"/>
                <w:spacing w:val="8"/>
                <w:sz w:val="24"/>
                <w:szCs w:val="24"/>
                <w:shd w:val="clear" w:color="auto" w:fill="FFFFFF"/>
              </w:rPr>
              <w:t>分钟内完成急救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42" w:rsidRPr="00AE4865" w:rsidRDefault="007F4E42" w:rsidP="00CB2BD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86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AE486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</w:tbl>
    <w:p w:rsidR="00AE4865" w:rsidRDefault="007F4E42" w:rsidP="00CB2BD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E4865">
        <w:rPr>
          <w:rFonts w:ascii="仿宋" w:eastAsia="仿宋" w:hAnsi="仿宋" w:hint="eastAsia"/>
          <w:b/>
          <w:sz w:val="28"/>
          <w:szCs w:val="28"/>
        </w:rPr>
        <w:t>四、鉴定要求</w:t>
      </w:r>
    </w:p>
    <w:p w:rsidR="005513D9" w:rsidRPr="00AE4865" w:rsidRDefault="00AE4865" w:rsidP="00CB2BD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E486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一</w:t>
      </w:r>
      <w:r w:rsidRPr="00AE4865">
        <w:rPr>
          <w:rFonts w:ascii="仿宋" w:eastAsia="仿宋" w:hAnsi="仿宋" w:hint="eastAsia"/>
          <w:sz w:val="28"/>
          <w:szCs w:val="28"/>
        </w:rPr>
        <w:t>）</w:t>
      </w:r>
      <w:r w:rsidR="005513D9" w:rsidRPr="00AE4865">
        <w:rPr>
          <w:rFonts w:ascii="仿宋" w:eastAsia="仿宋" w:hAnsi="仿宋" w:hint="eastAsia"/>
          <w:sz w:val="28"/>
          <w:szCs w:val="28"/>
        </w:rPr>
        <w:t>申报条件</w:t>
      </w:r>
    </w:p>
    <w:p w:rsidR="007E0803" w:rsidRPr="00AE4865" w:rsidRDefault="007E0803" w:rsidP="00CB2BD2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AE4865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C5692F" w:rsidRPr="00AE4865" w:rsidRDefault="00AE4865" w:rsidP="00CB2BD2">
      <w:pPr>
        <w:pStyle w:val="a3"/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（二）</w:t>
      </w:r>
      <w:r w:rsidR="00C5692F" w:rsidRPr="00AE4865">
        <w:rPr>
          <w:rFonts w:ascii="仿宋" w:eastAsia="仿宋" w:hAnsi="仿宋" w:cs="Times New Roman" w:hint="eastAsia"/>
          <w:sz w:val="28"/>
          <w:szCs w:val="28"/>
        </w:rPr>
        <w:t>考评员构成</w:t>
      </w:r>
    </w:p>
    <w:p w:rsidR="00FD4802" w:rsidRDefault="00FD4802" w:rsidP="00CB2BD2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FD4802">
        <w:rPr>
          <w:rFonts w:ascii="仿宋" w:eastAsia="仿宋" w:hAnsi="仿宋" w:hint="eastAsia"/>
          <w:sz w:val="28"/>
          <w:szCs w:val="28"/>
        </w:rPr>
        <w:t>考评员应具备一定的游乐设施操作专业知识及实际操作经验；每个考评组不少于3名考评员。</w:t>
      </w:r>
    </w:p>
    <w:p w:rsidR="00C5692F" w:rsidRPr="00AE4865" w:rsidRDefault="00AE4865" w:rsidP="00CB2BD2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FD4802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="00927DE0">
        <w:rPr>
          <w:rFonts w:ascii="仿宋" w:eastAsia="仿宋" w:hAnsi="仿宋" w:cs="Helvetica" w:hint="eastAsia"/>
          <w:bCs/>
          <w:sz w:val="28"/>
          <w:szCs w:val="28"/>
        </w:rPr>
        <w:t>鉴定方式与鉴定时间</w:t>
      </w:r>
    </w:p>
    <w:p w:rsidR="00FD4802" w:rsidRDefault="00FD4802" w:rsidP="00CB2BD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4802">
        <w:rPr>
          <w:rFonts w:ascii="仿宋" w:eastAsia="仿宋" w:hAnsi="仿宋" w:hint="eastAsia"/>
          <w:sz w:val="28"/>
          <w:szCs w:val="28"/>
        </w:rPr>
        <w:t>技能操作考核采取实际操作考核。技能操作考核时间为120分钟。</w:t>
      </w:r>
    </w:p>
    <w:p w:rsidR="006E76A6" w:rsidRPr="00AE4865" w:rsidRDefault="006E76A6" w:rsidP="00CB2BD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E4865">
        <w:rPr>
          <w:rFonts w:ascii="仿宋" w:eastAsia="仿宋" w:hAnsi="仿宋" w:hint="eastAsia"/>
          <w:sz w:val="28"/>
          <w:szCs w:val="28"/>
        </w:rPr>
        <w:t>（</w:t>
      </w:r>
      <w:r w:rsidR="00FD4802">
        <w:rPr>
          <w:rFonts w:ascii="仿宋" w:eastAsia="仿宋" w:hAnsi="仿宋" w:hint="eastAsia"/>
          <w:sz w:val="28"/>
          <w:szCs w:val="28"/>
        </w:rPr>
        <w:t>四</w:t>
      </w:r>
      <w:r w:rsidRPr="00AE4865">
        <w:rPr>
          <w:rFonts w:ascii="仿宋" w:eastAsia="仿宋" w:hAnsi="仿宋" w:hint="eastAsia"/>
          <w:sz w:val="28"/>
          <w:szCs w:val="28"/>
        </w:rPr>
        <w:t>）</w:t>
      </w:r>
      <w:r w:rsidR="00927DE0" w:rsidRPr="00927DE0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AF06B9" w:rsidRDefault="00AF06B9" w:rsidP="00CB2BD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06B9">
        <w:rPr>
          <w:rFonts w:ascii="仿宋" w:eastAsia="仿宋" w:hAnsi="仿宋" w:hint="eastAsia"/>
          <w:sz w:val="28"/>
          <w:szCs w:val="28"/>
        </w:rPr>
        <w:t>1.场地要求</w:t>
      </w:r>
    </w:p>
    <w:p w:rsidR="00FD4802" w:rsidRDefault="006E76A6" w:rsidP="00CB2BD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E4865">
        <w:rPr>
          <w:rFonts w:ascii="仿宋" w:eastAsia="仿宋" w:hAnsi="仿宋" w:hint="eastAsia"/>
          <w:sz w:val="28"/>
          <w:szCs w:val="28"/>
        </w:rPr>
        <w:t>鉴定场地面积不小于</w:t>
      </w:r>
      <w:r w:rsidR="00D038FE" w:rsidRPr="00AE4865">
        <w:rPr>
          <w:rFonts w:ascii="仿宋" w:eastAsia="仿宋" w:hAnsi="仿宋"/>
          <w:sz w:val="28"/>
          <w:szCs w:val="28"/>
        </w:rPr>
        <w:t>5</w:t>
      </w:r>
      <w:r w:rsidRPr="00AE4865">
        <w:rPr>
          <w:rFonts w:ascii="仿宋" w:eastAsia="仿宋" w:hAnsi="仿宋"/>
          <w:sz w:val="28"/>
          <w:szCs w:val="28"/>
        </w:rPr>
        <w:t>00</w:t>
      </w:r>
      <w:r w:rsidRPr="00AE4865">
        <w:rPr>
          <w:rFonts w:ascii="仿宋" w:eastAsia="仿宋" w:hAnsi="仿宋" w:hint="eastAsia"/>
          <w:sz w:val="28"/>
          <w:szCs w:val="28"/>
        </w:rPr>
        <w:t>平方米，具备架设</w:t>
      </w:r>
      <w:r w:rsidR="007F4E42" w:rsidRPr="00AE4865">
        <w:rPr>
          <w:rFonts w:ascii="仿宋" w:eastAsia="仿宋" w:hAnsi="仿宋"/>
          <w:sz w:val="28"/>
          <w:szCs w:val="28"/>
        </w:rPr>
        <w:t>3</w:t>
      </w:r>
      <w:r w:rsidRPr="00AE4865">
        <w:rPr>
          <w:rFonts w:ascii="仿宋" w:eastAsia="仿宋" w:hAnsi="仿宋" w:hint="eastAsia"/>
          <w:sz w:val="28"/>
          <w:szCs w:val="28"/>
        </w:rPr>
        <w:t>台以上的不同种类的大型游乐设施的条件，</w:t>
      </w:r>
      <w:r w:rsidR="007F4E42" w:rsidRPr="00AE4865">
        <w:rPr>
          <w:rFonts w:ascii="仿宋" w:eastAsia="仿宋" w:hAnsi="仿宋" w:hint="eastAsia"/>
          <w:sz w:val="28"/>
          <w:szCs w:val="28"/>
        </w:rPr>
        <w:t>光线充足，空气流通，室内温、湿度适中，整洁无干扰，具有安全防火措施。</w:t>
      </w:r>
      <w:r w:rsidR="00FD4802" w:rsidRPr="00FD4802">
        <w:rPr>
          <w:rFonts w:ascii="仿宋" w:eastAsia="仿宋" w:hAnsi="仿宋" w:hint="eastAsia"/>
          <w:sz w:val="28"/>
          <w:szCs w:val="28"/>
        </w:rPr>
        <w:t>还需配备主考室及候考室。</w:t>
      </w:r>
    </w:p>
    <w:p w:rsidR="00AF06B9" w:rsidRDefault="00AF06B9" w:rsidP="00CB2BD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06B9">
        <w:rPr>
          <w:rFonts w:ascii="仿宋" w:eastAsia="仿宋" w:hAnsi="仿宋" w:hint="eastAsia"/>
          <w:sz w:val="28"/>
          <w:szCs w:val="28"/>
        </w:rPr>
        <w:t>2.设备要求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8"/>
        <w:gridCol w:w="2867"/>
        <w:gridCol w:w="1421"/>
        <w:gridCol w:w="698"/>
        <w:gridCol w:w="698"/>
        <w:gridCol w:w="1896"/>
      </w:tblGrid>
      <w:tr w:rsidR="00CB2BD2" w:rsidTr="00CB2BD2">
        <w:tc>
          <w:tcPr>
            <w:tcW w:w="0" w:type="auto"/>
            <w:vAlign w:val="center"/>
          </w:tcPr>
          <w:p w:rsidR="00CB2BD2" w:rsidRPr="00FD4802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80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CB2BD2" w:rsidRPr="00FD4802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802">
              <w:rPr>
                <w:rFonts w:ascii="仿宋" w:eastAsia="仿宋" w:hAnsi="仿宋" w:hint="eastAsia"/>
                <w:b/>
                <w:sz w:val="24"/>
                <w:szCs w:val="24"/>
              </w:rPr>
              <w:t>设施、设备、工具、材料</w:t>
            </w:r>
          </w:p>
        </w:tc>
        <w:tc>
          <w:tcPr>
            <w:tcW w:w="0" w:type="auto"/>
            <w:vAlign w:val="center"/>
          </w:tcPr>
          <w:p w:rsidR="00CB2BD2" w:rsidRPr="00FD4802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802">
              <w:rPr>
                <w:rFonts w:ascii="仿宋" w:eastAsia="仿宋" w:hAnsi="仿宋" w:hint="eastAsia"/>
                <w:b/>
                <w:sz w:val="24"/>
                <w:szCs w:val="24"/>
              </w:rPr>
              <w:t>型号与规格</w:t>
            </w:r>
          </w:p>
        </w:tc>
        <w:tc>
          <w:tcPr>
            <w:tcW w:w="0" w:type="auto"/>
            <w:vAlign w:val="center"/>
          </w:tcPr>
          <w:p w:rsidR="00CB2BD2" w:rsidRPr="00FD4802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802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</w:tcPr>
          <w:p w:rsidR="00CB2BD2" w:rsidRPr="00FD4802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802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 w:rsidR="00CB2BD2" w:rsidRPr="00FD4802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802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B2BD2" w:rsidTr="00CB2BD2"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大型游乐设施</w:t>
            </w:r>
          </w:p>
        </w:tc>
        <w:tc>
          <w:tcPr>
            <w:tcW w:w="0" w:type="auto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C级以上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需属于不同类别</w:t>
            </w:r>
          </w:p>
        </w:tc>
      </w:tr>
      <w:tr w:rsidR="00CB2BD2" w:rsidTr="00CB2BD2"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暂停运营牌</w:t>
            </w:r>
          </w:p>
        </w:tc>
        <w:tc>
          <w:tcPr>
            <w:tcW w:w="0" w:type="auto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2BD2" w:rsidTr="00CB2BD2"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高空救援安全带</w:t>
            </w:r>
          </w:p>
        </w:tc>
        <w:tc>
          <w:tcPr>
            <w:tcW w:w="0" w:type="auto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2BD2" w:rsidTr="00CB2BD2"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心肺复苏模拟假人</w:t>
            </w:r>
          </w:p>
        </w:tc>
        <w:tc>
          <w:tcPr>
            <w:tcW w:w="0" w:type="auto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2BD2" w:rsidTr="00CB2BD2"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麦克风</w:t>
            </w:r>
          </w:p>
        </w:tc>
        <w:tc>
          <w:tcPr>
            <w:tcW w:w="0" w:type="auto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2BD2" w:rsidTr="00CB2BD2"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音响系统</w:t>
            </w:r>
          </w:p>
        </w:tc>
        <w:tc>
          <w:tcPr>
            <w:tcW w:w="0" w:type="auto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86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2BD2" w:rsidRPr="00AE4865" w:rsidRDefault="00CB2BD2" w:rsidP="00CB2BD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513D9" w:rsidRPr="00655FAA" w:rsidRDefault="005513D9" w:rsidP="00655FAA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5513D9" w:rsidRPr="00655FAA" w:rsidSect="00AE486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4A" w:rsidRDefault="006D294A" w:rsidP="00EE315C">
      <w:pPr>
        <w:rPr>
          <w:rFonts w:hint="eastAsia"/>
        </w:rPr>
      </w:pPr>
      <w:r>
        <w:separator/>
      </w:r>
    </w:p>
  </w:endnote>
  <w:endnote w:type="continuationSeparator" w:id="0">
    <w:p w:rsidR="006D294A" w:rsidRDefault="006D294A" w:rsidP="00EE31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4A" w:rsidRDefault="006D294A" w:rsidP="00EE315C">
      <w:pPr>
        <w:rPr>
          <w:rFonts w:hint="eastAsia"/>
        </w:rPr>
      </w:pPr>
      <w:r>
        <w:separator/>
      </w:r>
    </w:p>
  </w:footnote>
  <w:footnote w:type="continuationSeparator" w:id="0">
    <w:p w:rsidR="006D294A" w:rsidRDefault="006D294A" w:rsidP="00EE31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39A"/>
    <w:multiLevelType w:val="hybridMultilevel"/>
    <w:tmpl w:val="A58EEA18"/>
    <w:lvl w:ilvl="0" w:tplc="81CE454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631BEE"/>
    <w:multiLevelType w:val="hybridMultilevel"/>
    <w:tmpl w:val="BF5A69DA"/>
    <w:lvl w:ilvl="0" w:tplc="C0DAF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F1081E"/>
    <w:multiLevelType w:val="hybridMultilevel"/>
    <w:tmpl w:val="890C3C2C"/>
    <w:lvl w:ilvl="0" w:tplc="57BE829E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1308DE"/>
    <w:multiLevelType w:val="hybridMultilevel"/>
    <w:tmpl w:val="60063AA8"/>
    <w:lvl w:ilvl="0" w:tplc="A9F4840C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4C5E96"/>
    <w:multiLevelType w:val="hybridMultilevel"/>
    <w:tmpl w:val="6A8A8E64"/>
    <w:lvl w:ilvl="0" w:tplc="DFE86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5A1E3A"/>
    <w:multiLevelType w:val="hybridMultilevel"/>
    <w:tmpl w:val="2E66644A"/>
    <w:lvl w:ilvl="0" w:tplc="95BE347E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9C6B71"/>
    <w:multiLevelType w:val="hybridMultilevel"/>
    <w:tmpl w:val="18C8F37E"/>
    <w:lvl w:ilvl="0" w:tplc="73D05D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4"/>
    <w:rsid w:val="00012282"/>
    <w:rsid w:val="00046D9F"/>
    <w:rsid w:val="000666DA"/>
    <w:rsid w:val="00085F44"/>
    <w:rsid w:val="0009768C"/>
    <w:rsid w:val="000C67B2"/>
    <w:rsid w:val="000E7CBA"/>
    <w:rsid w:val="00101B1D"/>
    <w:rsid w:val="00116494"/>
    <w:rsid w:val="00132F55"/>
    <w:rsid w:val="00134243"/>
    <w:rsid w:val="00163A96"/>
    <w:rsid w:val="001A2ACE"/>
    <w:rsid w:val="001C1117"/>
    <w:rsid w:val="001C26C8"/>
    <w:rsid w:val="001F1E1C"/>
    <w:rsid w:val="00201C3A"/>
    <w:rsid w:val="00224B5D"/>
    <w:rsid w:val="002A4996"/>
    <w:rsid w:val="002B1629"/>
    <w:rsid w:val="002F73CC"/>
    <w:rsid w:val="00312A56"/>
    <w:rsid w:val="00313989"/>
    <w:rsid w:val="003170AE"/>
    <w:rsid w:val="0037346F"/>
    <w:rsid w:val="00373559"/>
    <w:rsid w:val="003E229B"/>
    <w:rsid w:val="00427CD1"/>
    <w:rsid w:val="00430304"/>
    <w:rsid w:val="00440720"/>
    <w:rsid w:val="0045436E"/>
    <w:rsid w:val="0046369A"/>
    <w:rsid w:val="004A20E0"/>
    <w:rsid w:val="004A29D3"/>
    <w:rsid w:val="004D3C6F"/>
    <w:rsid w:val="004D6DC8"/>
    <w:rsid w:val="00537CEF"/>
    <w:rsid w:val="005513D9"/>
    <w:rsid w:val="00563E9C"/>
    <w:rsid w:val="00571FDF"/>
    <w:rsid w:val="005834F0"/>
    <w:rsid w:val="005B618E"/>
    <w:rsid w:val="00607449"/>
    <w:rsid w:val="006229FD"/>
    <w:rsid w:val="00637C44"/>
    <w:rsid w:val="00652ACC"/>
    <w:rsid w:val="00655FAA"/>
    <w:rsid w:val="006B6FA2"/>
    <w:rsid w:val="006D294A"/>
    <w:rsid w:val="006E73D5"/>
    <w:rsid w:val="006E76A6"/>
    <w:rsid w:val="00706072"/>
    <w:rsid w:val="00715F97"/>
    <w:rsid w:val="00757BC2"/>
    <w:rsid w:val="0078408A"/>
    <w:rsid w:val="007E0803"/>
    <w:rsid w:val="007F4E42"/>
    <w:rsid w:val="008064F9"/>
    <w:rsid w:val="00812328"/>
    <w:rsid w:val="00863BC3"/>
    <w:rsid w:val="008667ED"/>
    <w:rsid w:val="0088406C"/>
    <w:rsid w:val="008B672C"/>
    <w:rsid w:val="008C67E5"/>
    <w:rsid w:val="008D3073"/>
    <w:rsid w:val="008D5655"/>
    <w:rsid w:val="008F51DF"/>
    <w:rsid w:val="00925ECF"/>
    <w:rsid w:val="00927DE0"/>
    <w:rsid w:val="0094401D"/>
    <w:rsid w:val="009640A2"/>
    <w:rsid w:val="009D287E"/>
    <w:rsid w:val="009E1270"/>
    <w:rsid w:val="009F646A"/>
    <w:rsid w:val="00AE4865"/>
    <w:rsid w:val="00AF06B9"/>
    <w:rsid w:val="00B479F2"/>
    <w:rsid w:val="00B747BB"/>
    <w:rsid w:val="00B77E8D"/>
    <w:rsid w:val="00B93F46"/>
    <w:rsid w:val="00BC6EE6"/>
    <w:rsid w:val="00BD5330"/>
    <w:rsid w:val="00BD578B"/>
    <w:rsid w:val="00C17AC9"/>
    <w:rsid w:val="00C5692F"/>
    <w:rsid w:val="00C67A1E"/>
    <w:rsid w:val="00C86475"/>
    <w:rsid w:val="00CB2BD2"/>
    <w:rsid w:val="00CF44DD"/>
    <w:rsid w:val="00D038FE"/>
    <w:rsid w:val="00D22EC5"/>
    <w:rsid w:val="00D2545B"/>
    <w:rsid w:val="00D44430"/>
    <w:rsid w:val="00D81273"/>
    <w:rsid w:val="00D85FC1"/>
    <w:rsid w:val="00E4314D"/>
    <w:rsid w:val="00E43CBE"/>
    <w:rsid w:val="00E44429"/>
    <w:rsid w:val="00E4743A"/>
    <w:rsid w:val="00E6771B"/>
    <w:rsid w:val="00EA5FE6"/>
    <w:rsid w:val="00EC0B09"/>
    <w:rsid w:val="00EE315C"/>
    <w:rsid w:val="00EF4171"/>
    <w:rsid w:val="00F7186B"/>
    <w:rsid w:val="00FD4802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44"/>
    <w:pPr>
      <w:ind w:firstLineChars="200" w:firstLine="420"/>
    </w:pPr>
  </w:style>
  <w:style w:type="paragraph" w:styleId="a4">
    <w:name w:val="No Spacing"/>
    <w:uiPriority w:val="1"/>
    <w:qFormat/>
    <w:rsid w:val="00607449"/>
    <w:pPr>
      <w:widowControl w:val="0"/>
      <w:jc w:val="both"/>
    </w:pPr>
  </w:style>
  <w:style w:type="table" w:styleId="a5">
    <w:name w:val="Table Grid"/>
    <w:basedOn w:val="a1"/>
    <w:uiPriority w:val="59"/>
    <w:rsid w:val="001F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E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E31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E3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E315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B2B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2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44"/>
    <w:pPr>
      <w:ind w:firstLineChars="200" w:firstLine="420"/>
    </w:pPr>
  </w:style>
  <w:style w:type="paragraph" w:styleId="a4">
    <w:name w:val="No Spacing"/>
    <w:uiPriority w:val="1"/>
    <w:qFormat/>
    <w:rsid w:val="00607449"/>
    <w:pPr>
      <w:widowControl w:val="0"/>
      <w:jc w:val="both"/>
    </w:pPr>
  </w:style>
  <w:style w:type="table" w:styleId="a5">
    <w:name w:val="Table Grid"/>
    <w:basedOn w:val="a1"/>
    <w:uiPriority w:val="59"/>
    <w:rsid w:val="001F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E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E31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E3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E315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B2B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2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264B1-6794-4D14-BB26-60CF8BCC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黄建彬</dc:creator>
  <cp:lastModifiedBy>我</cp:lastModifiedBy>
  <cp:revision>13</cp:revision>
  <cp:lastPrinted>2020-11-24T00:45:00Z</cp:lastPrinted>
  <dcterms:created xsi:type="dcterms:W3CDTF">2020-03-26T00:52:00Z</dcterms:created>
  <dcterms:modified xsi:type="dcterms:W3CDTF">2020-12-09T08:24:00Z</dcterms:modified>
</cp:coreProperties>
</file>